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2" w:line="56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en-US"/>
        </w:rPr>
        <w:t>Performance zoning helps key city</w:t>
      </w:r>
      <w:r>
        <w:rPr>
          <w:rFonts w:ascii="Times Roman" w:hAnsi="Times Roman" w:hint="default"/>
          <w:b w:val="1"/>
          <w:bCs w:val="1"/>
          <w:sz w:val="48"/>
          <w:szCs w:val="48"/>
          <w:rtl w:val="1"/>
        </w:rPr>
        <w:t>’</w:t>
      </w:r>
      <w:r>
        <w:rPr>
          <w:rFonts w:ascii="Times Roman" w:hAnsi="Times Roman"/>
          <w:b w:val="1"/>
          <w:bCs w:val="1"/>
          <w:sz w:val="48"/>
          <w:szCs w:val="48"/>
          <w:rtl w:val="0"/>
          <w:lang w:val="en-US"/>
        </w:rPr>
        <w:t>s comeback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Havana, Fla., was once a thriving tobacco town. Twelve miles north of Tallahassee, the town sat at the junction of the Georgia, Florida and Alabama Railroads </w:t>
      </w:r>
    </w:p>
    <w:p>
      <w:pPr>
        <w:pStyle w:val="Default"/>
        <w:numPr>
          <w:ilvl w:val="0"/>
          <w:numId w:val="2"/>
        </w:numPr>
        <w:bidi w:val="0"/>
        <w:spacing w:before="0" w:line="280" w:lineRule="atLeast"/>
        <w:ind w:right="0"/>
        <w:jc w:val="left"/>
        <w:rPr>
          <w:rFonts w:ascii="Times Roman" w:hAnsi="Times Roman"/>
          <w:outline w:val="0"/>
          <w:color w:val="0000ee"/>
          <w:u w:val="single"/>
          <w:rtl w:val="0"/>
          <w:lang w:val="en-US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Written by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"https://www.americancityandcounty.com/author/americancityandcounty/"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American City &amp; County Administrator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line="28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1st June 1997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Havana, Fla., was once a thriving tobacco town. Twelve miles north of Tallahassee, the town sat at the junction of the Georgia, Florida and Alabama Railroads and was a center for the production of shade tobacco, which is used to wrap cigars.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But when the railroad branch that joined Havana to the main line was abandoned and the labor-intensive tobacco industry fell prey to foreign competition, the town began a quick decline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Now, thanks to antiques stores and a new zoning ordinance, Havana is back. It all started in the mid-1980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s, when a couple of entrepreneurs opened an antiques shop in an old brick building in downtown Havana. Business built slowly, and they began to encourage others to open shops. A few years later, art galleries began to open.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Today, Havana is home to 40 antiques stores and specialty shops, two art galleries and an art education center. Additionally, National Research &amp; Technology (NRT) has relocated to the town from Tallahassee, bringing with it 130 jobs. What was once a decaying downtown is now a vibrant and optimistic place that is becoming known as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The Antiques Capital of the Southeast.</w:t>
      </w:r>
      <w:r>
        <w:rPr>
          <w:rFonts w:ascii="Times Roman" w:hAnsi="Times Roman" w:hint="default"/>
          <w:rtl w:val="0"/>
        </w:rPr>
        <w:t>”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Part of the credit for the turnaround can be traced to the adoption in 1990 of a performance-based zoning ordinance that has directed development in the town.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State legislation mandated that the town adopt land use controls, and the town chose to go with performance-based zoning for several reasons; it offered greater flexibility and did not require the rezoning and public hearings necessary with traditional zoning.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Lane Kendig, known as the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Father of Performance Zoning,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 xml:space="preserve">explains that the concept was developed to address areas of regulation where conventional zoning had failed.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Unlike the traditional approach,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 xml:space="preserve">he wrote,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 xml:space="preserve">[performance zoning] does not organize uses into a hierarchy which is then used to protect </w:t>
      </w: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  <w:lang w:val="en-US"/>
        </w:rPr>
        <w:t>higher</w:t>
      </w:r>
      <w:r>
        <w:rPr>
          <w:rFonts w:ascii="Times Roman" w:hAnsi="Times Roman" w:hint="default"/>
          <w:rtl w:val="1"/>
        </w:rPr>
        <w:t xml:space="preserve">’ </w:t>
      </w:r>
      <w:r>
        <w:rPr>
          <w:rFonts w:ascii="Times Roman" w:hAnsi="Times Roman"/>
          <w:rtl w:val="0"/>
          <w:lang w:val="en-US"/>
        </w:rPr>
        <w:t xml:space="preserve">uses from </w:t>
      </w:r>
      <w:r>
        <w:rPr>
          <w:rFonts w:ascii="Times Roman" w:hAnsi="Times Roman" w:hint="default"/>
          <w:rtl w:val="1"/>
        </w:rPr>
        <w:t>‘</w:t>
      </w:r>
      <w:r>
        <w:rPr>
          <w:rFonts w:ascii="Times Roman" w:hAnsi="Times Roman"/>
          <w:rtl w:val="0"/>
          <w:lang w:val="en-US"/>
        </w:rPr>
        <w:t>lower</w:t>
      </w:r>
      <w:r>
        <w:rPr>
          <w:rFonts w:ascii="Times Roman" w:hAnsi="Times Roman" w:hint="default"/>
          <w:rtl w:val="1"/>
        </w:rPr>
        <w:t xml:space="preserve">’ </w:t>
      </w:r>
      <w:r>
        <w:rPr>
          <w:rFonts w:ascii="Times Roman" w:hAnsi="Times Roman"/>
          <w:rtl w:val="0"/>
          <w:lang w:val="en-US"/>
        </w:rPr>
        <w:t>ones. Rather, it imposes minimum levels of performance by setting standards that must be met by each land use.</w:t>
      </w:r>
      <w:r>
        <w:rPr>
          <w:rFonts w:ascii="Times Roman" w:hAnsi="Times Roman" w:hint="default"/>
          <w:rtl w:val="0"/>
        </w:rPr>
        <w:t>”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firm of Barr, Dunlop and Associates (now part of Tallahassee-based Kimley-Horn and Associates) prepared the town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s comprehensive plan. According to the plan, Havana has four zoning districts, two of which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en-US"/>
        </w:rPr>
        <w:t xml:space="preserve">neighborhood conservation and industrial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en-US"/>
        </w:rPr>
        <w:t>severely restrict the land uses allowed. The neighborhood conservation district, for instance, allows only single family dwellings built on minimum lot sizes.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industrial district recognizes that some land uses must be segregated from others due to noise, glare and other factors that cannot be mitigated by buffering from adjacent land uses.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two other districts, the urban core and development districts, allow a wide range of land uses (except heavy industrial) provided they meet performance standards governing such things as drainage controls, density, floor area ratios and buffer</w:t>
      </w:r>
      <w:r>
        <w:rPr>
          <w:rFonts w:ascii="Times Roman" w:hAnsi="Times Roman"/>
          <w:rtl w:val="0"/>
          <w:lang w:val="en-US"/>
        </w:rPr>
        <w:t xml:space="preserve"> </w:t>
      </w:r>
      <w:r>
        <w:rPr>
          <w:rFonts w:ascii="Times Roman" w:hAnsi="Times Roman"/>
          <w:rtl w:val="0"/>
          <w:lang w:val="en-US"/>
        </w:rPr>
        <w:t>yards between uses.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The numerical standards are greatly influenced by the type of adjacent development. For example, an intense use next to a much less intense use requires substantially more buffer</w:t>
      </w:r>
      <w:r>
        <w:rPr>
          <w:rFonts w:ascii="Times Roman" w:hAnsi="Times Roman"/>
          <w:rtl w:val="0"/>
          <w:lang w:val="en-US"/>
        </w:rPr>
        <w:t xml:space="preserve"> </w:t>
      </w:r>
      <w:r>
        <w:rPr>
          <w:rFonts w:ascii="Times Roman" w:hAnsi="Times Roman"/>
          <w:rtl w:val="0"/>
          <w:lang w:val="en-US"/>
        </w:rPr>
        <w:t xml:space="preserve">yard than would adjacent developments of equal intensity. The number of dwelling units or the floor area ratio of commercial structures that may be placed on a site is determined using a series of simple calculations. A developer can know what may be placed on any site with a minimum of cost or time by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running the numbers.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>Consequently, uncertainty over the politics of a project is not a factor.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Because of the inherent flexibility of performance zoning and rationally derived density/intensity allowed on any site, variances or changes in zoning districts are seldom justified, so the governing body does not have to get involved in typical day-to-day zoning or land development issues.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Seven years after its adoption, the ordinance appears to be working well. Seventy-one applications have been processed thus far, and only one has been denied for failing to meet all the required performance criteria.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Advantages of performance zoning include: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* time savings. It takes three days to obtain a development order, as opposed to as many as 90 days with traditional zoning;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* lack of political input. No town council time must be devoted to dealing with specific development permits;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* increased economic development. Developers can find out with certainty what they can do with a parcel within a few hours and with the expenditure of little more than the cost of a survey and a few hours of a planner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time. NRT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president noted that the firm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decision to relocate was strongly influenced by the ease of dealing with development regulations and the rapidity with which approvals were obtained; and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* few citizen complaints. The ordinance includes vegetation planting requirements to maintain the town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attractiveness.</w:t>
      </w:r>
    </w:p>
    <w:p>
      <w:pPr>
        <w:pStyle w:val="Default"/>
        <w:bidi w:val="0"/>
        <w:spacing w:before="0" w:after="24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This article was written by Havana Town Manager Susan Freiden and Richard Winters, a Tallahassee-based planning consultant.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